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439</w:t>
      </w:r>
    </w:p>
    <w:p>
      <w:r>
        <w:t>Bundesgericht (BGE), 1970-12-08, FR</w:t>
      </w:r>
    </w:p>
    <w:p>
      <w:r>
        <w:rPr>
          <w:b/>
        </w:rPr>
        <w:t xml:space="preserve">Quelle: </w:t>
      </w:r>
      <w:r>
        <w:t>https://mcp.opencaselaw.ch/entscheid/bge_96 II 439</w:t>
      </w:r>
    </w:p>
    <w:p>
      <w:r>
        <w:t>FR: ATF 96 II 439</w:t>
      </w:r>
    </w:p>
    <w:p>
      <w:r>
        <w:t>IT: DTF 96 II 439</w:t>
      </w:r>
    </w:p>
    <w:p>
      <w:pPr>
        <w:pStyle w:val="Heading2"/>
      </w:pPr>
      <w:r>
        <w:t>Regeste</w:t>
      </w:r>
    </w:p>
    <w:p>
      <w:r>
        <w:t>Regeste Aktiengesellschaft. Vertretungsmacht. Art. 458 ff. und 718 OR. 1. Die Ermächtigung kann stillschweigend erteilt werden (Erw. 2). 2. Wenn die Organe der AG bloss dulden, dass eine Person im Namen der Gesellschaft handelt, so wird die AG durch die Handlungen dieser Person verpflichtet, wenn Dritte beim Vertragsschluss in guten Treuen auf eine Ermächtigung schliessen durften; haben dagegen die Organe eine Ermächtigung erteilen wollen, so stellt sich die Frage des guten Glaubens Dritter beim Vertragsschluss nicht (Erw. 2). 3. Die Handlungen des Stellvertreters verpflichten die AG nicht, wenn er auf eigene Rechnung gehandelt oder über den Gesellschaftszweck hinausgehende Geschäfte abgeschlossen hat (Erw. 3). - Unterschied zwischen Tat- und Rechtsfrage hinsichtlich des ersten Punktes (Erw. 3 a). - Der Zweck der AG kann Dritten entgegengehalten werden, gleichgültig, ob sie Ausländer und im Ausland wohnhaft sind (Erw. 3 b).</w:t>
      </w:r>
    </w:p>
    <w:p>
      <w:pPr>
        <w:pStyle w:val="Heading2"/>
      </w:pPr>
      <w:r>
        <w:t>Erwägungen</w:t>
      </w:r>
    </w:p>
    <w:p>
      <w:r>
        <w:rPr>
          <w:b/>
        </w:rPr>
        <w:t>E. 1</w:t>
      </w:r>
    </w:p>
    <w:p>
      <w:r>
        <w:t>...</w:t>
      </w:r>
    </w:p>
    <w:p>
      <w:r>
        <w:rPr>
          <w:b/>
        </w:rPr>
        <w:t>E. 2</w:t>
      </w:r>
    </w:p>
    <w:p>
      <w:r>
        <w:t>D'après les constatations souveraines du juge du fait, Mozes était le véritable maître de Parsel SA, société dont il était l'unique actionnaire et où il exerçait effectivement tous les pouvoirs. L'administrateur unique Chapuis n'était qu'un prête-nom; il se bornait à contrôler la comptabilité et a toléré que Mozes s'arroge tous les pouvoirs, y compris celui de signer des effets de change. Mozes avait aussi pris en main toutes les relations avec la clientèle et la conclusion de tous les contrats. L'administrateur unique de la société l'avait donc laissé exercer les pouvoirs les plus étendus; il l'avait fait sciemment. Sans doute ces pouvoirs n'avaient-ils fait l'objet ni d'un acte écrit, ni d'une inscription au registre du commerce; ils étaient simplement tacites. Mais cela ne fait pas obstacle à leur validité (art. 458 s. et 718 CO; RO 60 I 393; 74 II 151 ; 76 I 351 s.). Si Chapuis, administrateur unique de Parsel, avait simplement toléré que Mozes ait accompli, au nom de la société, les BGE 96 II 439 S. 443 actes les plus divers, comme s'il était représentant de celle-ci mais sans vouloir, d'une façon générale, lui conférer les pouvoirs correspondants, il faudrait sans doute rechercher si Verreyken était fondé à admettre de bonne foi, vu les apparences ainsi créées, que Mozes avait pouvoir d'agir comme il l'a fait (RO 76 I 352). Mais cette question ne se pose pas, en l'espèce. Le juge du fait - à savoir le Tribunal de première instance, suivi par la Cour de justice - a constaté souverainement que l'administration s'en était entièrement remise à Mozes, lequel exerçait les pouvoirs les plus étendus, y compris celui de signer seul des traites, mais, bien plus encore, que l'administrateur unique, Chapuis, voulait qu'il en fût ainsi.</w:t>
      </w:r>
    </w:p>
    <w:p>
      <w:r>
        <w:rPr>
          <w:b/>
        </w:rPr>
        <w:t>E. 3</w:t>
      </w:r>
    </w:p>
    <w:p>
      <w:r>
        <w:t>Dès lors, c'est dans deux hypothèses seulement que les actes de Mozes auraient pu ne pas engager Parsel SA: premièrement s'il avait agi pour son propre compte et non comme représentant de la société, secondement si les achats de diamants étaient exorbitants du but social. a) Sur le premier point, il faut distinguer les questions de fait des questions de droit. Le juge cantonal examine des questions de fait - et sa décision à cet égard est souveraine selon l'art. 63 al. 2 OJ - lorsqu'il recherche qui a conclu tel contrat, sous quelle forme, dans quelles circonstances, qui a signé telle lettre, sur quel genre de papier et comment. Il tranche des questions de droit lorsqu'il dit en quelle qualité telle personne a conclu un marché, si c'est en son propre nom ou en qualité de représentant d'une tierce personne, par exemple. En cette matière, son prononcé est soumis à la censure du Tribunal fédéral saisi par la voie du recours en réforme (art. 43 OJ). Le juge genevois a constaté les faits suivants (arrêt entrepris, qui se réfère aux faits constatés par le Tribunal de première instance): C'est avec Parsel SA que Verreyken a été mis en rapport par la maison CEF; c'est sur du papier à en-tête de Parsel SA que Mozes lui a fait cinq commandes successives de diamants et c'est à l'adresse de cette société qu'il a livré les diamants par la poste. C'est également sur du papier à en-tête de Parsel SA qu'ont été écrites toutes les autres lettres adressées à Verreyken par Mozes, lequel a même, parfois, apposé le timbre humide de la société au-dessus de sa signature. C'est la société également que mentionnent toutes les factures et tous les documents douaniers relatifs aux livraisons. C'est elle enfin BGE 96 II 439 S. 444 qui est l'acceptant des effets de change envoyés à Verreyken pour le paiement. Ces faits obligent à conclure que, contrairement à ce qu'a admis la Cour de justice, c'est au nom de Parsel SA et non pas en son propre nom que Mozes a traité avec Verreyken. Peu importe à cet égard que Verreyken ait écrit à l'adresse de cette société en usant de la formule d'appel "Monsieur" au lieu de "Messieurs", que celle-ci ait écrit à son tour, sous la signature de Mozes: "J'accuse réception" ... et non pas "Nous accusons réception" ... Ce sont là des nuances dont on ne saurait rien tirer de décisif, vu les faits constatés par ailleurs. De même, il n'importe que, le 6 janvier 1967, Verreyken ait écrit à Mozes une lettre personnelle. Cette lettre, postérieure aux livraisons, s'explique par la surprise qu'avait causée à son auteur l'intervention soudaine de Chapuis, administrateur de Parsel SA, qu'il ne connaissait en aucune manière. Comme l'a expliqué le juge de première instance, le fait que, lors de sa comparution personnelle, le recourant ait nié s'être adressé directement à Mozes ne permet pas de conclure qu'il avait voulu traiter avec lui, à l'exclusion de Parsel SA b) La Cour de justice a admis que le but statutaire de Parsel SA ne lui permettait pas de faire le commerce des pierres précieuses. Le but d'une société anonyme, tel qu'il a été inscrit au registre du commerce (art. 641 ch. 3 CO), est censé connu des tiers et leur est opposable. Le tiers qui conclut un marché sans s'informer sur ce point en assume le risque et supporte le dommage qui peut en découler (art. 933 CO). Peu importe qu'il soit étranger et domicilié à l'étranger. Les doutes que le Tribunal de première instance exprime sur ce point ne sont pas fondés. En principe, l'étranger qui traite des affaires en Suisse avec une personne morale constituée selon le droit suisse se soumet implicitement à l'ordre juridique de ce pays. Les renseignements qu'il trouve au registre du commerce constituent du reste, positivement pour lui, une certaine garantie. Parsel SA ne répondrait donc pas des actes par lesquels son représentant aurait conclu des marchés exorbitants de son but social, inscrit au registre du commerce. La formule inscrite au registre du commerce, qui définit le but d'une société, doit être comprise dans un sens large. Aussi bien l'art. 718 al. 1 CO donne-t-il aux représentants d'une SA BGE 96 II 439 S. 445 le droit de faire, au nom de celle-ci, "tous les actes que peut impliquer le but social". Cette disposition vise à protéger les tiers de bonne foi et non à régir les rapports internes entre la société et ses représentants. Le Tribunal fédéral a jugé (RO 95 II 448) que le but social embrasse l'ensemble des actes juridiques qui, du point de vue objectif, peuvent, ne fût-ce que de façon indirecte, contribuer à atteindre le but social, c'est-à-dire tous ceux que ce but n'exclut pas nettement; il n'est pas nécessaire qu'ils rentrent dans l'activité habituelle de l'entreprise. En l'occurrence, Parsel SA avait pour but, selon ses statuts, de vendre par correspondance des marchandises de toute nature et de toute provenance se rapportant en particulier "à la femme". On ne saurait dire qu'un tel but exclue l'achat de diamants; il peut le couvrir, soit que la société veuille s'attirer des clients par l'institution de concours pour lesquels les pierres, montées, pourraient servir de prix, comme Mozes l'avait fait entrevoir à l'un de ses employés, soit qu'elle veuille entreprendre le commerce par correspondance de joaillerie et de montres - serties ou non de pierres précieuses. Il n'importe que cette activité n'ait pas été usuelle pour Parsel SA L'arrêt attaqué méconnaît donc aussi le droit fédéral pour avoir interprété trop strictement la notion du but de la société.anonyme.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